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58F" w:rsidRPr="00521111" w:rsidRDefault="006F258F">
      <w:pPr>
        <w:rPr>
          <w:rFonts w:ascii="Times New Roman" w:hAnsi="Times New Roman" w:cs="Times New Roman"/>
          <w:b/>
          <w:sz w:val="20"/>
          <w:szCs w:val="20"/>
        </w:rPr>
      </w:pPr>
      <w:r w:rsidRPr="00521111">
        <w:rPr>
          <w:rFonts w:ascii="Times New Roman" w:hAnsi="Times New Roman" w:cs="Times New Roman"/>
          <w:b/>
          <w:sz w:val="20"/>
          <w:szCs w:val="20"/>
        </w:rPr>
        <w:t>Annex II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1339"/>
        <w:gridCol w:w="2347"/>
        <w:gridCol w:w="5528"/>
      </w:tblGrid>
      <w:tr w:rsidR="00792C1B" w:rsidRPr="000B16BE" w:rsidTr="00792C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480" w:rsidRDefault="000822C3" w:rsidP="002B67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bookmarkStart w:id="0" w:name="RANGE!A1:C335"/>
            <w:r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S.29.0</w:t>
            </w:r>
            <w:r w:rsidR="002B6772"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  <w:r w:rsidR="008224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8D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- </w:t>
            </w:r>
            <w:r w:rsidR="008D26A0" w:rsidRPr="008224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Analysis of changes due to investments and financial liabilities</w:t>
            </w:r>
            <w:bookmarkStart w:id="1" w:name="_GoBack"/>
            <w:bookmarkEnd w:id="1"/>
          </w:p>
          <w:bookmarkEnd w:id="0"/>
          <w:p w:rsidR="00792C1B" w:rsidRDefault="00792C1B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:rsidR="00822480" w:rsidRPr="0047574D" w:rsidRDefault="00822480" w:rsidP="0047574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75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General comments:</w:t>
            </w:r>
          </w:p>
          <w:p w:rsidR="00822480" w:rsidRDefault="00822480" w:rsidP="0082248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10417">
              <w:rPr>
                <w:rFonts w:ascii="Times New Roman" w:hAnsi="Times New Roman" w:cs="Times New Roman"/>
                <w:sz w:val="20"/>
              </w:rPr>
      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      </w:r>
          </w:p>
          <w:p w:rsidR="00074530" w:rsidRPr="00074530" w:rsidRDefault="00074530" w:rsidP="008224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annex relates to annual submission of information for individual entities.</w:t>
            </w:r>
          </w:p>
          <w:p w:rsidR="000962CA" w:rsidRPr="000962CA" w:rsidRDefault="000962CA" w:rsidP="000962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962CA">
              <w:rPr>
                <w:rFonts w:ascii="Times New Roman" w:hAnsi="Times New Roman" w:cs="Times New Roman"/>
                <w:sz w:val="20"/>
              </w:rPr>
              <w:t xml:space="preserve">This template focuses on changes in </w:t>
            </w:r>
            <w:r w:rsidR="00074530">
              <w:rPr>
                <w:rFonts w:ascii="Times New Roman" w:hAnsi="Times New Roman" w:cs="Times New Roman"/>
                <w:sz w:val="20"/>
              </w:rPr>
              <w:t xml:space="preserve">the </w:t>
            </w:r>
            <w:r w:rsidRPr="000962CA">
              <w:rPr>
                <w:rFonts w:ascii="Times New Roman" w:hAnsi="Times New Roman" w:cs="Times New Roman"/>
                <w:sz w:val="20"/>
              </w:rPr>
              <w:t>Excess of Assets over Liabilities due to investments and financial liabilities</w:t>
            </w:r>
            <w:r w:rsidR="00074530">
              <w:rPr>
                <w:rFonts w:ascii="Times New Roman" w:hAnsi="Times New Roman" w:cs="Times New Roman"/>
                <w:sz w:val="20"/>
              </w:rPr>
              <w:t>.</w:t>
            </w:r>
            <w:r w:rsidR="00030ED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74530" w:rsidRDefault="00074530" w:rsidP="0047574D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0962CA">
              <w:rPr>
                <w:rFonts w:ascii="Times New Roman" w:hAnsi="Times New Roman" w:cs="Times New Roman"/>
                <w:sz w:val="20"/>
              </w:rPr>
              <w:t>The scope of this template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  <w:p w:rsidR="008D26A0" w:rsidRPr="00CC4E38" w:rsidRDefault="008D26A0" w:rsidP="008D26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>ncludes liabilities position of derivatives</w:t>
            </w:r>
            <w:r w:rsidR="00A9108F">
              <w:rPr>
                <w:rFonts w:ascii="Times New Roman" w:hAnsi="Times New Roman" w:cs="Times New Roman"/>
                <w:sz w:val="20"/>
              </w:rPr>
              <w:t xml:space="preserve"> (as investments)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8D26A0" w:rsidRPr="00CC4E38" w:rsidRDefault="008D26A0" w:rsidP="008D26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>ncludes Own shares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8D26A0" w:rsidRPr="008D26A0" w:rsidRDefault="008D26A0" w:rsidP="008D26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 xml:space="preserve">ncludes </w:t>
            </w:r>
            <w:r w:rsidRPr="008D26A0">
              <w:rPr>
                <w:rFonts w:ascii="Times New Roman" w:hAnsi="Times New Roman" w:cs="Times New Roman"/>
                <w:sz w:val="20"/>
              </w:rPr>
              <w:t>Financial liabilities (comprising subordinated liabilities);</w:t>
            </w:r>
          </w:p>
          <w:p w:rsidR="00074530" w:rsidRPr="008D26A0" w:rsidRDefault="00074530" w:rsidP="0047574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47574D">
              <w:rPr>
                <w:rFonts w:ascii="Times New Roman" w:hAnsi="Times New Roman" w:cs="Times New Roman"/>
                <w:sz w:val="20"/>
              </w:rPr>
              <w:t xml:space="preserve">Excludes assets held for unit-linked </w:t>
            </w:r>
            <w:r w:rsidR="00286DE2">
              <w:rPr>
                <w:rFonts w:ascii="Times New Roman" w:hAnsi="Times New Roman" w:cs="Times New Roman"/>
                <w:sz w:val="20"/>
              </w:rPr>
              <w:t>and</w:t>
            </w:r>
            <w:r w:rsidRPr="0047574D">
              <w:rPr>
                <w:rFonts w:ascii="Times New Roman" w:hAnsi="Times New Roman" w:cs="Times New Roman"/>
                <w:sz w:val="20"/>
              </w:rPr>
              <w:t xml:space="preserve"> index-linked funds</w:t>
            </w:r>
            <w:r w:rsidR="008D26A0" w:rsidRPr="0047574D">
              <w:rPr>
                <w:rFonts w:ascii="Times New Roman" w:hAnsi="Times New Roman" w:cs="Times New Roman"/>
                <w:sz w:val="20"/>
              </w:rPr>
              <w:t>;</w:t>
            </w:r>
          </w:p>
          <w:p w:rsidR="00074530" w:rsidRDefault="00074530" w:rsidP="0047574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CC4E38">
              <w:rPr>
                <w:rFonts w:ascii="Times New Roman" w:hAnsi="Times New Roman" w:cs="Times New Roman"/>
                <w:sz w:val="20"/>
              </w:rPr>
              <w:t>xcludes property held for own use</w:t>
            </w:r>
            <w:r w:rsidR="008D26A0">
              <w:rPr>
                <w:rFonts w:ascii="Times New Roman" w:hAnsi="Times New Roman" w:cs="Times New Roman"/>
                <w:sz w:val="20"/>
              </w:rPr>
              <w:t>.</w:t>
            </w:r>
          </w:p>
          <w:p w:rsidR="008D26A0" w:rsidRPr="00CC4E38" w:rsidRDefault="008D26A0" w:rsidP="0047574D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0962CA" w:rsidRPr="000962CA" w:rsidRDefault="000962CA" w:rsidP="000962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962CA">
              <w:rPr>
                <w:rFonts w:ascii="Times New Roman" w:hAnsi="Times New Roman" w:cs="Times New Roman"/>
                <w:sz w:val="20"/>
              </w:rPr>
              <w:t xml:space="preserve">For all these items, the template covers </w:t>
            </w:r>
            <w:r w:rsidR="00074530">
              <w:rPr>
                <w:rFonts w:ascii="Times New Roman" w:hAnsi="Times New Roman" w:cs="Times New Roman"/>
                <w:sz w:val="20"/>
              </w:rPr>
              <w:t xml:space="preserve">the </w:t>
            </w:r>
            <w:r w:rsidRPr="000962CA">
              <w:rPr>
                <w:rFonts w:ascii="Times New Roman" w:hAnsi="Times New Roman" w:cs="Times New Roman"/>
                <w:sz w:val="20"/>
              </w:rPr>
              <w:t xml:space="preserve">investments held at closing date of the prior reporting period (N-1) and </w:t>
            </w:r>
            <w:r w:rsidR="00074530" w:rsidRPr="000962CA">
              <w:rPr>
                <w:rFonts w:ascii="Times New Roman" w:hAnsi="Times New Roman" w:cs="Times New Roman"/>
                <w:sz w:val="20"/>
              </w:rPr>
              <w:t>th</w:t>
            </w:r>
            <w:r w:rsidR="00074530">
              <w:rPr>
                <w:rFonts w:ascii="Times New Roman" w:hAnsi="Times New Roman" w:cs="Times New Roman"/>
                <w:sz w:val="20"/>
              </w:rPr>
              <w:t>e</w:t>
            </w:r>
            <w:r w:rsidR="00074530" w:rsidRPr="000962C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962CA">
              <w:rPr>
                <w:rFonts w:ascii="Times New Roman" w:hAnsi="Times New Roman" w:cs="Times New Roman"/>
                <w:sz w:val="20"/>
              </w:rPr>
              <w:t xml:space="preserve">investments acquired/issued during the reporting period (N). </w:t>
            </w:r>
          </w:p>
          <w:p w:rsidR="000962CA" w:rsidRPr="000962CA" w:rsidRDefault="008D26A0" w:rsidP="000962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</w:t>
            </w:r>
            <w:r w:rsidR="00074530">
              <w:rPr>
                <w:rFonts w:ascii="Times New Roman" w:hAnsi="Times New Roman" w:cs="Times New Roman"/>
                <w:sz w:val="20"/>
              </w:rPr>
              <w:t xml:space="preserve">ith </w:t>
            </w:r>
            <w:r w:rsidR="000962CA" w:rsidRPr="000962CA">
              <w:rPr>
                <w:rFonts w:ascii="Times New Roman" w:hAnsi="Times New Roman" w:cs="Times New Roman"/>
                <w:sz w:val="20"/>
              </w:rPr>
              <w:t>regards</w:t>
            </w:r>
            <w:r w:rsidR="00074530">
              <w:rPr>
                <w:rFonts w:ascii="Times New Roman" w:hAnsi="Times New Roman" w:cs="Times New Roman"/>
                <w:sz w:val="20"/>
              </w:rPr>
              <w:t xml:space="preserve"> to</w:t>
            </w:r>
            <w:r w:rsidR="000962CA" w:rsidRPr="000962CA">
              <w:rPr>
                <w:rFonts w:ascii="Times New Roman" w:hAnsi="Times New Roman" w:cs="Times New Roman"/>
                <w:sz w:val="20"/>
              </w:rPr>
              <w:t xml:space="preserve"> assets held for unit linked </w:t>
            </w:r>
            <w:r w:rsidR="00286DE2">
              <w:rPr>
                <w:rFonts w:ascii="Times New Roman" w:hAnsi="Times New Roman" w:cs="Times New Roman"/>
                <w:sz w:val="20"/>
              </w:rPr>
              <w:t>and</w:t>
            </w:r>
            <w:r w:rsidR="000962CA" w:rsidRPr="000962CA">
              <w:rPr>
                <w:rFonts w:ascii="Times New Roman" w:hAnsi="Times New Roman" w:cs="Times New Roman"/>
                <w:sz w:val="20"/>
              </w:rPr>
              <w:t xml:space="preserve"> index linked funds, the adjustment on </w:t>
            </w:r>
            <w:r w:rsidR="00286DE2">
              <w:rPr>
                <w:rFonts w:ascii="Times New Roman" w:hAnsi="Times New Roman" w:cs="Times New Roman"/>
                <w:sz w:val="20"/>
              </w:rPr>
              <w:t>basic own funds</w:t>
            </w:r>
            <w:r w:rsidR="00286DE2" w:rsidRPr="000962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962CA" w:rsidRPr="000962CA">
              <w:rPr>
                <w:rFonts w:ascii="Times New Roman" w:hAnsi="Times New Roman" w:cs="Times New Roman"/>
                <w:sz w:val="20"/>
              </w:rPr>
              <w:t xml:space="preserve">related to valuation is taken into account in template </w:t>
            </w:r>
            <w:r w:rsidR="000962CA">
              <w:rPr>
                <w:rFonts w:ascii="Times New Roman" w:hAnsi="Times New Roman" w:cs="Times New Roman"/>
                <w:sz w:val="20"/>
              </w:rPr>
              <w:t>S.29.03</w:t>
            </w:r>
            <w:r w:rsidR="000962CA" w:rsidRPr="000962CA">
              <w:rPr>
                <w:rFonts w:ascii="Times New Roman" w:hAnsi="Times New Roman" w:cs="Times New Roman"/>
                <w:sz w:val="20"/>
              </w:rPr>
              <w:t>.</w:t>
            </w:r>
          </w:p>
          <w:p w:rsidR="00074530" w:rsidRDefault="00074530" w:rsidP="0047574D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difference between template S.29.02 (last table) and information in template S.09.01 is the inclusion of the revenue from own shares</w:t>
            </w:r>
            <w:r w:rsidR="00A72357">
              <w:rPr>
                <w:rFonts w:ascii="Times New Roman" w:hAnsi="Times New Roman" w:cs="Times New Roman"/>
                <w:sz w:val="20"/>
              </w:rPr>
              <w:t xml:space="preserve"> and the exclusion of unit linked</w:t>
            </w:r>
            <w:r w:rsidR="008D26A0">
              <w:rPr>
                <w:rFonts w:ascii="Times New Roman" w:hAnsi="Times New Roman" w:cs="Times New Roman"/>
                <w:sz w:val="20"/>
              </w:rPr>
              <w:t>.</w:t>
            </w:r>
            <w:r w:rsidDel="0007453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D19B8">
              <w:rPr>
                <w:rFonts w:ascii="Times New Roman" w:hAnsi="Times New Roman" w:cs="Times New Roman"/>
                <w:sz w:val="20"/>
              </w:rPr>
              <w:t xml:space="preserve">The purpose of the template is to provide a detailed understanding of the changes in </w:t>
            </w:r>
            <w:r>
              <w:rPr>
                <w:rFonts w:ascii="Times New Roman" w:hAnsi="Times New Roman" w:cs="Times New Roman"/>
                <w:sz w:val="20"/>
              </w:rPr>
              <w:t xml:space="preserve">the </w:t>
            </w:r>
            <w:r w:rsidRPr="005D19B8">
              <w:rPr>
                <w:rFonts w:ascii="Times New Roman" w:hAnsi="Times New Roman" w:cs="Times New Roman"/>
                <w:sz w:val="20"/>
              </w:rPr>
              <w:t>Excess of Assets over Liabilities related to</w:t>
            </w:r>
            <w:r>
              <w:rPr>
                <w:rFonts w:ascii="Times New Roman" w:hAnsi="Times New Roman" w:cs="Times New Roman"/>
                <w:sz w:val="20"/>
              </w:rPr>
              <w:t xml:space="preserve"> investment</w:t>
            </w:r>
            <w:r w:rsidRPr="005D19B8">
              <w:rPr>
                <w:rFonts w:ascii="Times New Roman" w:hAnsi="Times New Roman" w:cs="Times New Roman"/>
                <w:sz w:val="20"/>
              </w:rPr>
              <w:t>s, considering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  <w:p w:rsidR="00074530" w:rsidRPr="00CC4E38" w:rsidRDefault="00074530" w:rsidP="0047574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C4E38">
              <w:rPr>
                <w:rFonts w:ascii="Times New Roman" w:hAnsi="Times New Roman" w:cs="Times New Roman"/>
                <w:sz w:val="20"/>
              </w:rPr>
              <w:t xml:space="preserve">Movements in valuation with an impact on the Excess of Assets over Liabilities (e.g. </w:t>
            </w:r>
            <w:r w:rsidR="00921505">
              <w:rPr>
                <w:rFonts w:ascii="Times New Roman" w:hAnsi="Times New Roman" w:cs="Times New Roman"/>
                <w:sz w:val="20"/>
              </w:rPr>
              <w:t xml:space="preserve">realised gains and losses from </w:t>
            </w:r>
            <w:r w:rsidRPr="00CC4E38">
              <w:rPr>
                <w:rFonts w:ascii="Times New Roman" w:hAnsi="Times New Roman" w:cs="Times New Roman"/>
                <w:sz w:val="20"/>
              </w:rPr>
              <w:t>sales, but also valuation differences)</w:t>
            </w:r>
            <w:r w:rsidR="008D26A0">
              <w:rPr>
                <w:rFonts w:ascii="Times New Roman" w:hAnsi="Times New Roman" w:cs="Times New Roman"/>
                <w:sz w:val="20"/>
              </w:rPr>
              <w:t>;</w:t>
            </w:r>
          </w:p>
          <w:p w:rsidR="00074530" w:rsidRPr="00CC4E38" w:rsidRDefault="00074530" w:rsidP="0047574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C4E38">
              <w:rPr>
                <w:rFonts w:ascii="Times New Roman" w:hAnsi="Times New Roman" w:cs="Times New Roman"/>
                <w:sz w:val="20"/>
              </w:rPr>
              <w:t>Revenues triggered by investments</w:t>
            </w:r>
            <w:r w:rsidR="008D26A0">
              <w:rPr>
                <w:rFonts w:ascii="Times New Roman" w:hAnsi="Times New Roman" w:cs="Times New Roman"/>
                <w:sz w:val="20"/>
              </w:rPr>
              <w:t>;</w:t>
            </w:r>
          </w:p>
          <w:p w:rsidR="00074530" w:rsidRPr="00CC4E38" w:rsidRDefault="00074530" w:rsidP="0047574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C4E38">
              <w:rPr>
                <w:rFonts w:ascii="Times New Roman" w:hAnsi="Times New Roman" w:cs="Times New Roman"/>
                <w:sz w:val="20"/>
              </w:rPr>
              <w:t>Expenses related to investments</w:t>
            </w:r>
            <w:r>
              <w:rPr>
                <w:rFonts w:ascii="Times New Roman" w:hAnsi="Times New Roman" w:cs="Times New Roman"/>
                <w:sz w:val="20"/>
              </w:rPr>
              <w:t xml:space="preserve"> (incl</w:t>
            </w:r>
            <w:r w:rsidR="008D26A0">
              <w:rPr>
                <w:rFonts w:ascii="Times New Roman" w:hAnsi="Times New Roman" w:cs="Times New Roman"/>
                <w:sz w:val="20"/>
              </w:rPr>
              <w:t>uding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D26A0"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>nterest charges on financial liabilities.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  <w:r w:rsidR="008D26A0">
              <w:rPr>
                <w:rFonts w:ascii="Times New Roman" w:hAnsi="Times New Roman" w:cs="Times New Roman"/>
                <w:sz w:val="20"/>
              </w:rPr>
              <w:t>.</w:t>
            </w:r>
          </w:p>
          <w:p w:rsidR="00822480" w:rsidRPr="000B16BE" w:rsidRDefault="00822480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792C1B" w:rsidRPr="000B16BE" w:rsidTr="0047574D">
        <w:trPr>
          <w:trHeight w:val="300"/>
        </w:trPr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2C1B" w:rsidRPr="000B16BE" w:rsidRDefault="00792C1B" w:rsidP="0079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C1B" w:rsidRPr="000B16BE" w:rsidRDefault="00792C1B" w:rsidP="0079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C1B" w:rsidRPr="000B16BE" w:rsidRDefault="00792C1B" w:rsidP="0079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INSTRUCTIONS</w:t>
            </w:r>
          </w:p>
        </w:tc>
      </w:tr>
      <w:tr w:rsidR="002E2621" w:rsidRPr="000B16BE" w:rsidTr="00521111">
        <w:trPr>
          <w:trHeight w:val="488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521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C0010/R0010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investments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Default="0058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investments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including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- For those assets kept in the portfolio,</w:t>
            </w:r>
            <w:r w:rsidR="002E2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difference between S</w:t>
            </w:r>
            <w:r w:rsidR="002E2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II values at the end of the reporting period (N) and at the beginning of the Year (N-1)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- For those investments divested between the two reporting periods (including where an asset was acquired during the reporting period),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difference between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selling price and the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II value as at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last reporting period (or, in case of investments acquired during the period, the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acquisition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cost value)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For those assets acquired during the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reporting period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and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still held at the end of the reporting period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difference between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closing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II value and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acquisition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cost/value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</w:p>
          <w:p w:rsidR="00A9108F" w:rsidRDefault="00A9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It shall include amounts relative to derivatives regardless of derivatives being an asset or a liability. </w:t>
            </w:r>
          </w:p>
          <w:p w:rsidR="00A9108F" w:rsidRDefault="00A9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A9108F" w:rsidRPr="000B16BE" w:rsidRDefault="00A9108F" w:rsidP="005E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It shall not include amounts</w:t>
            </w:r>
            <w:r w:rsidRPr="00A9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 in “Investment revenues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– R0040</w:t>
            </w:r>
            <w:r w:rsidRPr="00A9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" and “Investments expenses incl. Interest charges on subordinated and financial liabilities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– R0050</w:t>
            </w:r>
            <w:r w:rsidRPr="00A9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”</w:t>
            </w:r>
            <w:r w:rsidR="00057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</w:tr>
      <w:tr w:rsidR="002E2621" w:rsidRPr="000B16BE" w:rsidTr="0047574D">
        <w:trPr>
          <w:trHeight w:val="67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521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 xml:space="preserve">C0010/R0020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own shares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33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Same as for cell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C0010/R0010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but for own shares</w:t>
            </w:r>
            <w:r w:rsidR="005878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</w:tr>
      <w:tr w:rsidR="002E2621" w:rsidRPr="000B16BE" w:rsidTr="0047574D">
        <w:trPr>
          <w:trHeight w:val="332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521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C0010/R0030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financial liabilities and subordinated liabilities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58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financial liabilities and subordinated liabilities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including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- For those financial and subordinated liabilities issued prior to the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reporting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period and not redeemed,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difference between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II values at the end of the reporting period (N) and at the beginning of the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reporting period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(N-1)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- For those financial and subordinated liabilities redeemed between the reporting period,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difference between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redemption price and the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olvency II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value as at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 end of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last reporting period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- For those financial and subordinated liabilities issued during the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reporting period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and not redeemed</w:t>
            </w:r>
            <w:r w:rsidR="00030E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during the period,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difference between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closing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II value and issuance price.</w:t>
            </w:r>
          </w:p>
        </w:tc>
      </w:tr>
      <w:tr w:rsidR="002E2621" w:rsidRPr="000B16BE" w:rsidTr="0047574D">
        <w:trPr>
          <w:trHeight w:val="571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521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C0010/R0040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Investment Revenues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8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Includes dividends, interests, rents and other revenues,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due 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investments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 scope of this template.</w:t>
            </w:r>
          </w:p>
        </w:tc>
      </w:tr>
      <w:tr w:rsidR="002E2621" w:rsidRPr="000B16BE" w:rsidTr="0047574D">
        <w:trPr>
          <w:trHeight w:val="2816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521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C0010/R0050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Investments expenses incl</w:t>
            </w:r>
            <w:r w:rsidR="005878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uding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interest charges on subordinated and financial liabilities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9A6883" w:rsidRDefault="0058783A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Investments expenses including interest charges on subordinated and financial liabilities, including</w:t>
            </w:r>
            <w:r w:rsidR="002E2621"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</w:p>
          <w:p w:rsidR="002E2621" w:rsidRPr="009A6883" w:rsidRDefault="002E2621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Investment management </w:t>
            </w:r>
            <w:r w:rsidR="00B0505C"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expenses </w:t>
            </w: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– related to </w:t>
            </w:r>
            <w:r w:rsidR="00B0505C"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“</w:t>
            </w:r>
            <w:r w:rsidR="00B0505C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Investments (other than assets held for index-linked and unit-linked contracts)” and to “Own shares”</w:t>
            </w:r>
            <w:r w:rsidR="0058783A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  <w:r w:rsidR="00B0505C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2E2621" w:rsidRPr="009A6883" w:rsidRDefault="002E2621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Interest charges on financial and subordinated liabilities</w:t>
            </w:r>
            <w:r w:rsidR="00B0505C" w:rsidRPr="0047574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related to “Financial liabilities other than debts owed to credit institutions” as well as “Debts owed to credit institutions” and “Subordinated liabilities”</w:t>
            </w:r>
            <w:r w:rsidR="0058783A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2E2621" w:rsidRPr="009A6883" w:rsidRDefault="002E2621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2E2621" w:rsidRPr="009A6883" w:rsidRDefault="002E2621" w:rsidP="00500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Those expenses and charges correspond to the ones recorded and recognised on an accrual basis at the end of the period.</w:t>
            </w:r>
          </w:p>
        </w:tc>
      </w:tr>
      <w:tr w:rsidR="002E2621" w:rsidRPr="000B16BE" w:rsidTr="0047574D">
        <w:trPr>
          <w:trHeight w:val="125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521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C0010/R0060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Variation in Excess of Assets over Liabilities explained by investments and financial liabilities management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9A6883" w:rsidRDefault="009A6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561F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of variation in Excess of Assets over Liabilities explained by investments and financial liabilities management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2E2621" w:rsidRPr="007864FC" w:rsidTr="0047574D">
        <w:trPr>
          <w:trHeight w:val="857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521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C0010/R0070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Dividends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Default="002E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dividends </w:t>
            </w:r>
            <w:r w:rsidR="003A4C2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earned over</w:t>
            </w:r>
            <w:r w:rsidR="003A4C2E"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reporting period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excluding any dividends 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ssets held for unit-linked </w:t>
            </w:r>
            <w:r w:rsidR="003A4C2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index-linked funds, or property held for own use)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950274" w:rsidRDefault="0095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50274" w:rsidRPr="00F77DC6" w:rsidRDefault="0095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same definition as in S.09.01 should apply (except for the scope of investments to consider).</w:t>
            </w:r>
          </w:p>
        </w:tc>
      </w:tr>
      <w:tr w:rsidR="002E2621" w:rsidRPr="007864FC" w:rsidTr="0047574D">
        <w:trPr>
          <w:trHeight w:val="826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521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C0010/R0080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Interests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Default="002E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interest </w:t>
            </w:r>
            <w:r w:rsidR="0005708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earned over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reporting period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excluding 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any interests 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ssets held for unit-linked </w:t>
            </w:r>
            <w:r w:rsidR="0005708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index-linked funds, or property held for own use)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950274" w:rsidRDefault="0095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50274" w:rsidRPr="00F77DC6" w:rsidRDefault="0095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same definition as in S.09.01 should apply (except for the scope of investments to consider).</w:t>
            </w:r>
          </w:p>
        </w:tc>
      </w:tr>
      <w:tr w:rsidR="002E2621" w:rsidRPr="007864FC" w:rsidTr="0047574D">
        <w:trPr>
          <w:trHeight w:val="839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521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C0010/R0090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Rents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Default="002E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rent </w:t>
            </w:r>
            <w:r w:rsidR="003A4C2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earned over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reporting period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excluding any rent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ssets held for unit-linked </w:t>
            </w:r>
            <w:r w:rsidR="003A4C2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index-linked funds, or property held for own use)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950274" w:rsidRDefault="0095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50274" w:rsidRPr="00F77DC6" w:rsidRDefault="0095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same definition as in S.09.01 should apply (except for the scope of investments to consider).</w:t>
            </w:r>
          </w:p>
        </w:tc>
      </w:tr>
      <w:tr w:rsidR="002E2621" w:rsidRPr="007864FC" w:rsidTr="0047574D">
        <w:trPr>
          <w:trHeight w:val="1559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521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C0010/R0100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Other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other investments income received and accrued at the end of the reporting year. Applicable to other investment income not considered in cells </w:t>
            </w:r>
            <w:r w:rsidR="008402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C0010/R0070</w:t>
            </w:r>
            <w:r w:rsidR="00840252"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8402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C0010/R0080</w:t>
            </w:r>
            <w:r w:rsidR="00840252"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and </w:t>
            </w:r>
            <w:r w:rsidR="008402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C0010/R0090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such as securities lending fees, commitment fees </w:t>
            </w:r>
            <w:proofErr w:type="spellStart"/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etc</w:t>
            </w:r>
            <w:proofErr w:type="spellEnd"/>
            <w:r w:rsidR="007720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excluding </w:t>
            </w:r>
            <w:r w:rsidR="007720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ones 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ssets held for unit-linked &amp; index-linked funds, or property held for own use)</w:t>
            </w:r>
            <w:r w:rsidR="007720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</w:tr>
    </w:tbl>
    <w:p w:rsidR="006E4A52" w:rsidRDefault="006E4A52"/>
    <w:sectPr w:rsidR="006E4A52" w:rsidSect="00792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280E"/>
    <w:multiLevelType w:val="hybridMultilevel"/>
    <w:tmpl w:val="B4FE1E6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D2970"/>
    <w:multiLevelType w:val="hybridMultilevel"/>
    <w:tmpl w:val="BEEE288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92C1B"/>
    <w:rsid w:val="00030ED9"/>
    <w:rsid w:val="00057088"/>
    <w:rsid w:val="00074530"/>
    <w:rsid w:val="000822C3"/>
    <w:rsid w:val="000962CA"/>
    <w:rsid w:val="000A4235"/>
    <w:rsid w:val="000B16BE"/>
    <w:rsid w:val="00114D23"/>
    <w:rsid w:val="0015082D"/>
    <w:rsid w:val="00225DFB"/>
    <w:rsid w:val="00286DE2"/>
    <w:rsid w:val="002B6772"/>
    <w:rsid w:val="002E2621"/>
    <w:rsid w:val="002F1F88"/>
    <w:rsid w:val="00335FF3"/>
    <w:rsid w:val="003A4136"/>
    <w:rsid w:val="003A4C2E"/>
    <w:rsid w:val="004077DE"/>
    <w:rsid w:val="0047465C"/>
    <w:rsid w:val="0047574D"/>
    <w:rsid w:val="004C12DD"/>
    <w:rsid w:val="004F4D3E"/>
    <w:rsid w:val="00500F41"/>
    <w:rsid w:val="00521111"/>
    <w:rsid w:val="005446B2"/>
    <w:rsid w:val="005512DC"/>
    <w:rsid w:val="005760DF"/>
    <w:rsid w:val="0058783A"/>
    <w:rsid w:val="005D19B8"/>
    <w:rsid w:val="005D4384"/>
    <w:rsid w:val="005E618B"/>
    <w:rsid w:val="00620BCF"/>
    <w:rsid w:val="00634EDB"/>
    <w:rsid w:val="006E4A52"/>
    <w:rsid w:val="006F258F"/>
    <w:rsid w:val="007103CF"/>
    <w:rsid w:val="00772083"/>
    <w:rsid w:val="00783242"/>
    <w:rsid w:val="007864FC"/>
    <w:rsid w:val="00792C1B"/>
    <w:rsid w:val="007D5B4F"/>
    <w:rsid w:val="007E7B45"/>
    <w:rsid w:val="00822480"/>
    <w:rsid w:val="00840252"/>
    <w:rsid w:val="008C3E86"/>
    <w:rsid w:val="008D0B8A"/>
    <w:rsid w:val="008D26A0"/>
    <w:rsid w:val="008D631A"/>
    <w:rsid w:val="00921505"/>
    <w:rsid w:val="00922B9F"/>
    <w:rsid w:val="00950274"/>
    <w:rsid w:val="009A6883"/>
    <w:rsid w:val="00A36D30"/>
    <w:rsid w:val="00A72357"/>
    <w:rsid w:val="00A9108F"/>
    <w:rsid w:val="00B01836"/>
    <w:rsid w:val="00B01A6C"/>
    <w:rsid w:val="00B035BB"/>
    <w:rsid w:val="00B0505C"/>
    <w:rsid w:val="00B35B14"/>
    <w:rsid w:val="00B71BF6"/>
    <w:rsid w:val="00BA070B"/>
    <w:rsid w:val="00BB539F"/>
    <w:rsid w:val="00BE1040"/>
    <w:rsid w:val="00C16676"/>
    <w:rsid w:val="00E94B28"/>
    <w:rsid w:val="00F11ECA"/>
    <w:rsid w:val="00F47796"/>
    <w:rsid w:val="00F7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53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4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5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53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7453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B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B4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53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4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5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53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7453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B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B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  <FIELD type="AdditionalFields" label="Descricao_NRO" source-type="AdditionalFields">
        <TAG><![CDATA[#NOVOREGISTO:CA:Descricao_NRO#]]></TAG>
        <VALUE><![CDATA[#NOVOREGISTO:CA:Descricao_NRO#]]></VALUE>
        <XPATH><![CDATA[/CARD/FIELDS/FIELD[NAME='Descricao_NRO']/VALUE]]></XPATH>
      </FIELD>
      <FIELD type="AdditionalFields" label="Ano_Ref" source-type="AdditionalFields">
        <TAG><![CDATA[#NOVOREGISTO:CA:Ano_Ref#]]></TAG>
        <VALUE><![CDATA[#NOVOREGISTO:CA:Ano_Ref#]]></VALUE>
        <XPATH><![CDATA[/CARD/FIELDS/FIELD[NAME='Ano_Ref']/VALUE]]></XPATH>
      </FIELD>
      <FIELD type="AdditionalFields" label="Mes_Ref" source-type="AdditionalFields">
        <TAG><![CDATA[#NOVOREGISTO:CA:Mes_Ref#]]></TAG>
        <VALUE><![CDATA[#NOVOREGISTO:CA:Mes_Ref#]]></VALUE>
        <XPATH><![CDATA[/CARD/FIELDS/FIELD[NAME='Mes_Ref']/VALUE]]></XPATH>
      </FIELD>
      <FIELD type="AdditionalFields" label="Situacao" source-type="AdditionalFields">
        <TAG><![CDATA[#NOVOREGISTO:CA:Situacao#]]></TAG>
        <VALUE><![CDATA[#NOVOREGISTO:CA:Situacao#]]></VALUE>
        <XPATH><![CDATA[/CARD/FIELDS/FIELD[NAME='Situaca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  <FIELD type="AdditionalFields" label="Descricao_NRO" source-type="AdditionalFields">
        <TAG><![CDATA[#PRIMEIROREGISTO:CA:Descricao_NRO#]]></TAG>
        <VALUE><![CDATA[#PRIMEIROREGISTO:CA:Descricao_NRO#]]></VALUE>
        <XPATH><![CDATA[/CARD/FIELDS/FIELD[NAME='Descricao_NRO']/VALUE]]></XPATH>
      </FIELD>
      <FIELD type="AdditionalFields" label="Ano_Ref" source-type="AdditionalFields">
        <TAG><![CDATA[#PRIMEIROREGISTO:CA:Ano_Ref#]]></TAG>
        <VALUE><![CDATA[#PRIMEIROREGISTO:CA:Ano_Ref#]]></VALUE>
        <XPATH><![CDATA[/CARD/FIELDS/FIELD[NAME='Ano_Ref']/VALUE]]></XPATH>
      </FIELD>
      <FIELD type="AdditionalFields" label="Mes_Ref" source-type="AdditionalFields">
        <TAG><![CDATA[#PRIMEIROREGISTO:CA:Mes_Ref#]]></TAG>
        <VALUE><![CDATA[#PRIMEIROREGISTO:CA:Mes_Ref#]]></VALUE>
        <XPATH><![CDATA[/CARD/FIELDS/FIELD[NAME='Mes_Ref']/VALUE]]></XPATH>
      </FIELD>
      <FIELD type="AdditionalFields" label="Situacao" source-type="AdditionalFields">
        <TAG><![CDATA[#PRIMEIROREGISTO:CA:Situacao#]]></TAG>
        <VALUE><![CDATA[#PRIMEIROREGISTO:CA:Situacao#]]></VALUE>
        <XPATH><![CDATA[/CARD/FIELDS/FIELD[NAME='Situaca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  <FIELD type="AdditionalFields" label="Descricao_NRO" source-type="AdditionalFields">
        <TAG><![CDATA[#PRIMEIROPROCESSO:CA:Descricao_NRO#]]></TAG>
        <VALUE><![CDATA[#PRIMEIROPROCESSO:CA:Descricao_NRO#]]></VALUE>
        <XPATH><![CDATA[/CARD/FIELDS/FIELD[NAME='Descricao_NRO']/VALUE]]></XPATH>
      </FIELD>
      <FIELD type="AdditionalFields" label="Ano_Ref" source-type="AdditionalFields">
        <TAG><![CDATA[#PRIMEIROPROCESSO:CA:Ano_Ref#]]></TAG>
        <VALUE><![CDATA[#PRIMEIROPROCESSO:CA:Ano_Ref#]]></VALUE>
        <XPATH><![CDATA[/CARD/FIELDS/FIELD[NAME='Ano_Ref']/VALUE]]></XPATH>
      </FIELD>
      <FIELD type="AdditionalFields" label="Mes_Ref" source-type="AdditionalFields">
        <TAG><![CDATA[#PRIMEIROPROCESSO:CA:Mes_Ref#]]></TAG>
        <VALUE><![CDATA[#PRIMEIROPROCESSO:CA:Mes_Ref#]]></VALUE>
        <XPATH><![CDATA[/CARD/FIELDS/FIELD[NAME='Mes_Ref']/VALUE]]></XPATH>
      </FIELD>
      <FIELD type="AdditionalFields" label="Situacao" source-type="AdditionalFields">
        <TAG><![CDATA[#PRIMEIROPROCESSO:CA:Situacao#]]></TAG>
        <VALUE><![CDATA[#PRIMEIROPROCESSO:CA:Situacao#]]></VALUE>
        <XPATH><![CDATA[/CARD/FIELDS/FIELD[NAME='Situaca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  <FIELD type="AdditionalFields" label="Descricao_NRO" source-type="AdditionalFields">
        <TAG><![CDATA[#REGISTO:CA:Descricao_NRO#]]></TAG>
        <VALUE><![CDATA[Descricao_NRO]]></VALUE>
        <XPATH><![CDATA[/CARD/FIELDS/FIELD[NAME='Descricao_NRO']/VALUE]]></XPATH>
      </FIELD>
      <FIELD type="AdditionalFields" label="Ano_Ref" source-type="AdditionalFields">
        <TAG><![CDATA[#REGISTO:CA:Ano_Ref#]]></TAG>
        <VALUE><![CDATA[Ano_Ref]]></VALUE>
        <XPATH><![CDATA[/CARD/FIELDS/FIELD[NAME='Ano_Ref']/VALUE]]></XPATH>
      </FIELD>
      <FIELD type="AdditionalFields" label="Mes_Ref" source-type="AdditionalFields">
        <TAG><![CDATA[#REGISTO:CA:Mes_Ref#]]></TAG>
        <VALUE><![CDATA[Mes_Ref]]></VALUE>
        <XPATH><![CDATA[/CARD/FIELDS/FIELD[NAME='Mes_Ref']/VALUE]]></XPATH>
      </FIELD>
      <FIELD type="AdditionalFields" label="Situacao" source-type="AdditionalFields">
        <TAG><![CDATA[#REGISTO:CA:Situacao#]]></TAG>
        <VALUE><![CDATA[Situacao]]></VALUE>
        <XPATH><![CDATA[/CARD/FIELDS/FIELD[NAME='Situaca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  <FIELD type="AdditionalFields" label="Descricao_NRO" source-type="AdditionalFields">
        <TAG><![CDATA[#CONTEXTPROCESS:CA:Descricao_NRO#]]></TAG>
        <VALUE><![CDATA[Descricao_NRO]]></VALUE>
        <XPATH><![CDATA[/PROCESS/FIELDS/FIELD[NAME='Descricao_NRO']/VALUE]]></XPATH>
      </FIELD>
      <FIELD type="AdditionalFields" label="Ano_Ref" source-type="AdditionalFields">
        <TAG><![CDATA[#CONTEXTPROCESS:CA:Ano_Ref#]]></TAG>
        <VALUE><![CDATA[Ano_Ref]]></VALUE>
        <XPATH><![CDATA[/PROCESS/FIELDS/FIELD[NAME='Ano_Ref']/VALUE]]></XPATH>
      </FIELD>
      <FIELD type="AdditionalFields" label="Mes_Ref" source-type="AdditionalFields">
        <TAG><![CDATA[#CONTEXTPROCESS:CA:Mes_Ref#]]></TAG>
        <VALUE><![CDATA[Mes_Ref]]></VALUE>
        <XPATH><![CDATA[/PROCESS/FIELDS/FIELD[NAME='Mes_Ref']/VALUE]]></XPATH>
      </FIELD>
      <FIELD type="AdditionalFields" label="Situacao" source-type="AdditionalFields">
        <TAG><![CDATA[#CONTEXTPROCESS:CA:Situacao#]]></TAG>
        <VALUE><![CDATA[Situacao]]></VALUE>
        <XPATH><![CDATA[/PROCESS/FIELDS/FIELD[NAME='Situaca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">
          <TAG><![CDATA[#SECUNDÁRIA_1:ENTIDADE_AVULSO:CODIGO_POSTAL:LOCALIDADE#]]></TAG>
          <VALUE><![CDATA[Localidade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">
          <TAG><![CDATA[#SECUNDÁRIA_2:ENTIDADE_AVULSO:CODIGO_POSTAL:LOCALIDADE#]]></TAG>
          <VALUE><![CDATA[Localidade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">
          <TAG><![CDATA[#SECUNDÁRIA_3:ENTIDADE_AVULSO:CODIGO_POSTAL:LOCALIDADE#]]></TAG>
          <VALUE><![CDATA[Localidade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A0F60CB4-81AA-4E91-90E4-0617DB6101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Banque de France</Company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4</cp:revision>
  <dcterms:created xsi:type="dcterms:W3CDTF">2015-06-30T22:01:00Z</dcterms:created>
  <dcterms:modified xsi:type="dcterms:W3CDTF">2015-07-01T14:04:00Z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